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E7E7C" w:rsidRPr="003D3FA7">
        <w:rPr>
          <w:rFonts w:ascii="Verdana" w:hAnsi="Verdana" w:cs="Arial"/>
          <w:b/>
          <w:sz w:val="18"/>
          <w:szCs w:val="18"/>
        </w:rPr>
        <w:t>Pelhřimov ST – oprava (střecha)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F46" w:rsidRDefault="007E1F46">
      <w:r>
        <w:separator/>
      </w:r>
    </w:p>
  </w:endnote>
  <w:endnote w:type="continuationSeparator" w:id="0">
    <w:p w:rsidR="007E1F46" w:rsidRDefault="007E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E7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7E7C" w:rsidRPr="00BE7E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F46" w:rsidRDefault="007E1F46">
      <w:r>
        <w:separator/>
      </w:r>
    </w:p>
  </w:footnote>
  <w:footnote w:type="continuationSeparator" w:id="0">
    <w:p w:rsidR="007E1F46" w:rsidRDefault="007E1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D06B8A-7B56-4567-BE11-3901DABF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2020-03-13T06:52:00Z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